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车间办公用品及物资清理计划</w:t>
      </w:r>
    </w:p>
    <w:p>
      <w:pPr>
        <w:ind w:firstLine="560" w:firstLineChars="200"/>
        <w:jc w:val="left"/>
        <w:rPr>
          <w:rFonts w:hint="eastAsia"/>
          <w:b w:val="0"/>
          <w:bCs w:val="0"/>
          <w:sz w:val="28"/>
          <w:szCs w:val="28"/>
          <w:lang w:val="en-US" w:eastAsia="zh-CN"/>
        </w:rPr>
      </w:pPr>
    </w:p>
    <w:p>
      <w:pPr>
        <w:ind w:firstLine="560" w:firstLineChars="200"/>
        <w:jc w:val="left"/>
        <w:rPr>
          <w:rFonts w:hint="eastAsia"/>
          <w:b w:val="0"/>
          <w:bCs w:val="0"/>
          <w:sz w:val="28"/>
          <w:szCs w:val="28"/>
          <w:lang w:val="en-US" w:eastAsia="zh-CN"/>
        </w:rPr>
      </w:pPr>
      <w:r>
        <w:rPr>
          <w:rFonts w:hint="eastAsia"/>
          <w:b w:val="0"/>
          <w:bCs w:val="0"/>
          <w:sz w:val="28"/>
          <w:szCs w:val="28"/>
          <w:lang w:val="en-US" w:eastAsia="zh-CN"/>
        </w:rPr>
        <w:t>为配合资产清理，实现集中办公，防止车间办公用品、资料及物资丢失，对各生产车间的办公用品及物资进行清理，集中统一堆放管理，以便今后处置。</w:t>
      </w:r>
    </w:p>
    <w:p>
      <w:pPr>
        <w:numPr>
          <w:ilvl w:val="0"/>
          <w:numId w:val="1"/>
        </w:numPr>
        <w:ind w:firstLine="562" w:firstLineChars="200"/>
        <w:jc w:val="left"/>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清理内容</w:t>
      </w:r>
    </w:p>
    <w:p>
      <w:pPr>
        <w:numPr>
          <w:ilvl w:val="0"/>
          <w:numId w:val="0"/>
        </w:numPr>
        <w:ind w:firstLine="560" w:firstLineChars="200"/>
        <w:jc w:val="left"/>
        <w:rPr>
          <w:rFonts w:hint="eastAsia"/>
          <w:b w:val="0"/>
          <w:bCs w:val="0"/>
          <w:sz w:val="28"/>
          <w:szCs w:val="28"/>
          <w:lang w:val="en-US" w:eastAsia="zh-CN"/>
        </w:rPr>
      </w:pPr>
      <w:r>
        <w:rPr>
          <w:rFonts w:hint="eastAsia"/>
          <w:b w:val="0"/>
          <w:bCs w:val="0"/>
          <w:sz w:val="28"/>
          <w:szCs w:val="28"/>
          <w:lang w:val="en-US" w:eastAsia="zh-CN"/>
        </w:rPr>
        <w:t>本次清理主要包含：办公用品、资料、操作平台、备件物资、工器具、废旧物资。</w:t>
      </w:r>
    </w:p>
    <w:p>
      <w:pPr>
        <w:numPr>
          <w:ilvl w:val="0"/>
          <w:numId w:val="0"/>
        </w:numPr>
        <w:ind w:firstLine="560" w:firstLineChars="200"/>
        <w:jc w:val="left"/>
        <w:rPr>
          <w:rFonts w:hint="eastAsia"/>
          <w:b w:val="0"/>
          <w:bCs w:val="0"/>
          <w:sz w:val="28"/>
          <w:szCs w:val="28"/>
          <w:lang w:val="en-US" w:eastAsia="zh-CN"/>
        </w:rPr>
      </w:pPr>
      <w:r>
        <w:rPr>
          <w:rFonts w:hint="eastAsia"/>
          <w:b w:val="0"/>
          <w:bCs w:val="0"/>
          <w:sz w:val="28"/>
          <w:szCs w:val="28"/>
          <w:lang w:val="en-US" w:eastAsia="zh-CN"/>
        </w:rPr>
        <w:t>办公用品：含台式电脑、空调、办公桌椅、办公文件柜、电话、饮水机、热水器及其他用品。</w:t>
      </w:r>
    </w:p>
    <w:p>
      <w:pPr>
        <w:numPr>
          <w:ilvl w:val="0"/>
          <w:numId w:val="0"/>
        </w:numPr>
        <w:ind w:firstLine="560" w:firstLineChars="200"/>
        <w:jc w:val="left"/>
        <w:rPr>
          <w:rFonts w:hint="eastAsia"/>
          <w:b w:val="0"/>
          <w:bCs w:val="0"/>
          <w:sz w:val="28"/>
          <w:szCs w:val="28"/>
          <w:lang w:val="en-US" w:eastAsia="zh-CN"/>
        </w:rPr>
      </w:pPr>
      <w:r>
        <w:rPr>
          <w:rFonts w:hint="eastAsia" w:ascii="宋体" w:hAnsi="宋体" w:eastAsia="宋体" w:cs="宋体"/>
          <w:b w:val="0"/>
          <w:bCs w:val="0"/>
          <w:sz w:val="28"/>
          <w:szCs w:val="28"/>
          <w:lang w:val="en-US" w:eastAsia="zh-CN"/>
        </w:rPr>
        <w:t>资料：含办公文件、会议记录、车间图纸资料、操作记录、巡检记录、设备说明书等。</w:t>
      </w:r>
    </w:p>
    <w:p>
      <w:pPr>
        <w:numPr>
          <w:ilvl w:val="0"/>
          <w:numId w:val="0"/>
        </w:numPr>
        <w:ind w:firstLine="560" w:firstLineChars="200"/>
        <w:jc w:val="left"/>
        <w:rPr>
          <w:rFonts w:hint="eastAsia"/>
          <w:b w:val="0"/>
          <w:bCs w:val="0"/>
          <w:sz w:val="28"/>
          <w:szCs w:val="28"/>
          <w:lang w:val="en-US" w:eastAsia="zh-CN"/>
        </w:rPr>
      </w:pPr>
      <w:r>
        <w:rPr>
          <w:rFonts w:hint="eastAsia"/>
          <w:b w:val="0"/>
          <w:bCs w:val="0"/>
          <w:sz w:val="28"/>
          <w:szCs w:val="28"/>
          <w:lang w:val="en-US" w:eastAsia="zh-CN"/>
        </w:rPr>
        <w:t>操作平台：含工控机（显示器和主机）、操作平台、储物柜等。</w:t>
      </w:r>
    </w:p>
    <w:p>
      <w:pPr>
        <w:numPr>
          <w:ilvl w:val="0"/>
          <w:numId w:val="0"/>
        </w:numPr>
        <w:ind w:firstLine="560" w:firstLineChars="200"/>
        <w:jc w:val="left"/>
        <w:rPr>
          <w:rFonts w:hint="eastAsia"/>
          <w:b w:val="0"/>
          <w:bCs w:val="0"/>
          <w:sz w:val="28"/>
          <w:szCs w:val="28"/>
          <w:lang w:val="en-US" w:eastAsia="zh-CN"/>
        </w:rPr>
      </w:pPr>
      <w:r>
        <w:rPr>
          <w:rFonts w:hint="eastAsia"/>
          <w:b w:val="0"/>
          <w:bCs w:val="0"/>
          <w:sz w:val="28"/>
          <w:szCs w:val="28"/>
          <w:lang w:val="en-US" w:eastAsia="zh-CN"/>
        </w:rPr>
        <w:t>备件物资：含工段所领用的备品备件及物资。</w:t>
      </w:r>
    </w:p>
    <w:p>
      <w:pPr>
        <w:numPr>
          <w:ilvl w:val="0"/>
          <w:numId w:val="0"/>
        </w:numPr>
        <w:ind w:firstLine="560" w:firstLineChars="200"/>
        <w:jc w:val="left"/>
        <w:rPr>
          <w:rFonts w:hint="eastAsia"/>
          <w:b w:val="0"/>
          <w:bCs w:val="0"/>
          <w:sz w:val="28"/>
          <w:szCs w:val="28"/>
          <w:lang w:val="en-US" w:eastAsia="zh-CN"/>
        </w:rPr>
      </w:pPr>
      <w:r>
        <w:rPr>
          <w:rFonts w:hint="eastAsia"/>
          <w:b w:val="0"/>
          <w:bCs w:val="0"/>
          <w:sz w:val="28"/>
          <w:szCs w:val="28"/>
          <w:lang w:val="en-US" w:eastAsia="zh-CN"/>
        </w:rPr>
        <w:t>工器具：含通用工器具和专用工器具、工具柜、工具架等。</w:t>
      </w:r>
    </w:p>
    <w:p>
      <w:pPr>
        <w:numPr>
          <w:ilvl w:val="0"/>
          <w:numId w:val="0"/>
        </w:numPr>
        <w:ind w:firstLine="560" w:firstLineChars="200"/>
        <w:jc w:val="left"/>
        <w:rPr>
          <w:rFonts w:hint="eastAsia"/>
          <w:b w:val="0"/>
          <w:bCs w:val="0"/>
          <w:sz w:val="28"/>
          <w:szCs w:val="28"/>
          <w:lang w:val="en-US" w:eastAsia="zh-CN"/>
        </w:rPr>
      </w:pPr>
      <w:r>
        <w:rPr>
          <w:rFonts w:hint="eastAsia"/>
          <w:b w:val="0"/>
          <w:bCs w:val="0"/>
          <w:sz w:val="28"/>
          <w:szCs w:val="28"/>
          <w:lang w:val="en-US" w:eastAsia="zh-CN"/>
        </w:rPr>
        <w:t>废旧物资：含工段现场所有废旧设备、备件、物资。</w:t>
      </w:r>
    </w:p>
    <w:p>
      <w:pPr>
        <w:numPr>
          <w:ilvl w:val="0"/>
          <w:numId w:val="1"/>
        </w:numPr>
        <w:ind w:firstLine="562" w:firstLineChars="200"/>
        <w:jc w:val="left"/>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物资存放</w:t>
      </w:r>
    </w:p>
    <w:p>
      <w:pPr>
        <w:numPr>
          <w:ilvl w:val="0"/>
          <w:numId w:val="0"/>
        </w:num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清理出来的物资统一存放及管理，主要存放在化验室和氧化铝仓。</w:t>
      </w:r>
    </w:p>
    <w:p>
      <w:pPr>
        <w:numPr>
          <w:ilvl w:val="0"/>
          <w:numId w:val="0"/>
        </w:num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化验室：存放文件资料和电脑（办公电脑、工控机）。</w:t>
      </w:r>
    </w:p>
    <w:p>
      <w:pPr>
        <w:numPr>
          <w:ilvl w:val="0"/>
          <w:numId w:val="0"/>
        </w:numPr>
        <w:ind w:firstLine="560" w:firstLineChars="200"/>
        <w:jc w:val="left"/>
        <w:rPr>
          <w:rFonts w:hint="eastAsia"/>
          <w:b w:val="0"/>
          <w:bCs w:val="0"/>
          <w:sz w:val="28"/>
          <w:szCs w:val="28"/>
          <w:lang w:val="en-US" w:eastAsia="zh-CN"/>
        </w:rPr>
      </w:pPr>
      <w:r>
        <w:rPr>
          <w:rFonts w:hint="eastAsia" w:ascii="宋体" w:hAnsi="宋体" w:eastAsia="宋体" w:cs="宋体"/>
          <w:b w:val="0"/>
          <w:bCs w:val="0"/>
          <w:sz w:val="28"/>
          <w:szCs w:val="28"/>
          <w:lang w:val="en-US" w:eastAsia="zh-CN"/>
        </w:rPr>
        <w:t>氧化铝仓：存放</w:t>
      </w:r>
      <w:r>
        <w:rPr>
          <w:rFonts w:hint="eastAsia"/>
          <w:b w:val="0"/>
          <w:bCs w:val="0"/>
          <w:sz w:val="28"/>
          <w:szCs w:val="28"/>
          <w:lang w:val="en-US" w:eastAsia="zh-CN"/>
        </w:rPr>
        <w:t>空调、办公桌椅、办公文件柜、电话、饮水机、热水器、工具柜、储物柜、工具箱、操作平台、备件物资等。</w:t>
      </w:r>
    </w:p>
    <w:p>
      <w:pPr>
        <w:numPr>
          <w:ilvl w:val="0"/>
          <w:numId w:val="0"/>
        </w:numPr>
        <w:ind w:firstLine="560" w:firstLineChars="200"/>
        <w:jc w:val="left"/>
        <w:rPr>
          <w:rFonts w:hint="eastAsia"/>
          <w:b w:val="0"/>
          <w:bCs w:val="0"/>
          <w:sz w:val="28"/>
          <w:szCs w:val="28"/>
          <w:lang w:val="en-US" w:eastAsia="zh-CN"/>
        </w:rPr>
      </w:pPr>
      <w:r>
        <w:rPr>
          <w:rFonts w:hint="eastAsia"/>
          <w:b w:val="0"/>
          <w:bCs w:val="0"/>
          <w:sz w:val="28"/>
          <w:szCs w:val="28"/>
          <w:lang w:val="en-US" w:eastAsia="zh-CN"/>
        </w:rPr>
        <w:t>工器具由检修统一回收管理。</w:t>
      </w:r>
    </w:p>
    <w:p>
      <w:pPr>
        <w:numPr>
          <w:ilvl w:val="0"/>
          <w:numId w:val="0"/>
        </w:numPr>
        <w:ind w:firstLine="560" w:firstLineChars="200"/>
        <w:jc w:val="left"/>
        <w:rPr>
          <w:rFonts w:hint="eastAsia"/>
          <w:b w:val="0"/>
          <w:bCs w:val="0"/>
          <w:sz w:val="28"/>
          <w:szCs w:val="28"/>
          <w:lang w:val="en-US" w:eastAsia="zh-CN"/>
        </w:rPr>
      </w:pPr>
      <w:r>
        <w:rPr>
          <w:rFonts w:hint="eastAsia"/>
          <w:b w:val="0"/>
          <w:bCs w:val="0"/>
          <w:sz w:val="28"/>
          <w:szCs w:val="28"/>
          <w:lang w:val="en-US" w:eastAsia="zh-CN"/>
        </w:rPr>
        <w:t>废旧物资统一放到废旧仓库。</w:t>
      </w:r>
    </w:p>
    <w:p>
      <w:pPr>
        <w:numPr>
          <w:ilvl w:val="0"/>
          <w:numId w:val="0"/>
        </w:numPr>
        <w:ind w:firstLine="560" w:firstLineChars="200"/>
        <w:jc w:val="left"/>
        <w:rPr>
          <w:rFonts w:hint="eastAsia"/>
          <w:b w:val="0"/>
          <w:bCs w:val="0"/>
          <w:sz w:val="28"/>
          <w:szCs w:val="28"/>
          <w:lang w:val="en-US" w:eastAsia="zh-CN"/>
        </w:rPr>
      </w:pPr>
      <w:r>
        <w:rPr>
          <w:rFonts w:hint="eastAsia"/>
          <w:b w:val="0"/>
          <w:bCs w:val="0"/>
          <w:sz w:val="28"/>
          <w:szCs w:val="28"/>
          <w:lang w:val="en-US" w:eastAsia="zh-CN"/>
        </w:rPr>
        <w:t>重要物资及资料交办公室存档。</w:t>
      </w:r>
    </w:p>
    <w:p>
      <w:pPr>
        <w:numPr>
          <w:ilvl w:val="0"/>
          <w:numId w:val="1"/>
        </w:numPr>
        <w:ind w:firstLine="562" w:firstLineChars="200"/>
        <w:jc w:val="left"/>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人员安排</w:t>
      </w:r>
    </w:p>
    <w:p>
      <w:pPr>
        <w:numPr>
          <w:ilvl w:val="0"/>
          <w:numId w:val="0"/>
        </w:numPr>
        <w:ind w:firstLine="560" w:firstLineChars="200"/>
        <w:jc w:val="left"/>
        <w:rPr>
          <w:rFonts w:hint="eastAsia"/>
          <w:b w:val="0"/>
          <w:bCs w:val="0"/>
          <w:sz w:val="28"/>
          <w:szCs w:val="28"/>
          <w:lang w:val="en-US" w:eastAsia="zh-CN"/>
        </w:rPr>
      </w:pPr>
      <w:r>
        <w:rPr>
          <w:rFonts w:hint="eastAsia"/>
          <w:b w:val="0"/>
          <w:bCs w:val="0"/>
          <w:sz w:val="28"/>
          <w:szCs w:val="28"/>
          <w:lang w:val="en-US" w:eastAsia="zh-CN"/>
        </w:rPr>
        <w:t>本次办公用品及物资清理统一由设备维护组负责，其他组配合完成。主要职责为：</w:t>
      </w:r>
    </w:p>
    <w:p>
      <w:pPr>
        <w:numPr>
          <w:ilvl w:val="0"/>
          <w:numId w:val="0"/>
        </w:numPr>
        <w:ind w:firstLine="560" w:firstLineChars="200"/>
        <w:jc w:val="left"/>
        <w:rPr>
          <w:rFonts w:hint="eastAsia"/>
          <w:b w:val="0"/>
          <w:bCs w:val="0"/>
          <w:sz w:val="28"/>
          <w:szCs w:val="28"/>
          <w:lang w:val="en-US" w:eastAsia="zh-CN"/>
        </w:rPr>
      </w:pPr>
      <w:r>
        <w:rPr>
          <w:rFonts w:hint="eastAsia"/>
          <w:b w:val="0"/>
          <w:bCs w:val="0"/>
          <w:sz w:val="28"/>
          <w:szCs w:val="28"/>
          <w:lang w:val="en-US" w:eastAsia="zh-CN"/>
        </w:rPr>
        <w:t>工段负责人：负责本工段的办公设备清理全面工作，含清理的内容及地点，同时负责本工段及协助其他工段清理及搬运文件资料等其他小型办公用品及物资。</w:t>
      </w:r>
    </w:p>
    <w:p>
      <w:pPr>
        <w:numPr>
          <w:ilvl w:val="0"/>
          <w:numId w:val="0"/>
        </w:numPr>
        <w:ind w:firstLine="560" w:firstLineChars="200"/>
        <w:jc w:val="left"/>
        <w:rPr>
          <w:rFonts w:hint="eastAsia"/>
          <w:b w:val="0"/>
          <w:bCs w:val="0"/>
          <w:sz w:val="28"/>
          <w:szCs w:val="28"/>
          <w:lang w:val="en-US" w:eastAsia="zh-CN"/>
        </w:rPr>
      </w:pPr>
      <w:r>
        <w:rPr>
          <w:rFonts w:hint="eastAsia"/>
          <w:b w:val="0"/>
          <w:bCs w:val="0"/>
          <w:sz w:val="28"/>
          <w:szCs w:val="28"/>
          <w:lang w:val="en-US" w:eastAsia="zh-CN"/>
        </w:rPr>
        <w:t>检修工：负责空调、电脑（工控机）的拆除及搬运。</w:t>
      </w:r>
    </w:p>
    <w:p>
      <w:pPr>
        <w:numPr>
          <w:ilvl w:val="0"/>
          <w:numId w:val="0"/>
        </w:numPr>
        <w:ind w:firstLine="560" w:firstLineChars="200"/>
        <w:jc w:val="left"/>
        <w:rPr>
          <w:rFonts w:hint="eastAsia"/>
          <w:b w:val="0"/>
          <w:bCs w:val="0"/>
          <w:sz w:val="28"/>
          <w:szCs w:val="28"/>
          <w:lang w:val="en-US" w:eastAsia="zh-CN"/>
        </w:rPr>
      </w:pPr>
      <w:r>
        <w:rPr>
          <w:rFonts w:hint="eastAsia"/>
          <w:b w:val="0"/>
          <w:bCs w:val="0"/>
          <w:sz w:val="28"/>
          <w:szCs w:val="28"/>
          <w:lang w:val="en-US" w:eastAsia="zh-CN"/>
        </w:rPr>
        <w:t>电工：负责车间的用电设施的断电及处理。</w:t>
      </w:r>
    </w:p>
    <w:p>
      <w:pPr>
        <w:numPr>
          <w:ilvl w:val="0"/>
          <w:numId w:val="0"/>
        </w:numPr>
        <w:ind w:firstLine="560" w:firstLineChars="200"/>
        <w:jc w:val="left"/>
        <w:rPr>
          <w:rFonts w:hint="eastAsia"/>
          <w:b w:val="0"/>
          <w:bCs w:val="0"/>
          <w:sz w:val="28"/>
          <w:szCs w:val="28"/>
          <w:lang w:val="en-US" w:eastAsia="zh-CN"/>
        </w:rPr>
      </w:pPr>
      <w:r>
        <w:rPr>
          <w:rFonts w:hint="eastAsia"/>
          <w:b w:val="0"/>
          <w:bCs w:val="0"/>
          <w:sz w:val="28"/>
          <w:szCs w:val="28"/>
          <w:lang w:val="en-US" w:eastAsia="zh-CN"/>
        </w:rPr>
        <w:t>周文才：负责物资的运输（叉车）。</w:t>
      </w:r>
    </w:p>
    <w:p>
      <w:pPr>
        <w:numPr>
          <w:ilvl w:val="0"/>
          <w:numId w:val="0"/>
        </w:numPr>
        <w:ind w:firstLine="560" w:firstLineChars="200"/>
        <w:jc w:val="left"/>
        <w:rPr>
          <w:rFonts w:hint="eastAsia"/>
          <w:b w:val="0"/>
          <w:bCs w:val="0"/>
          <w:sz w:val="28"/>
          <w:szCs w:val="28"/>
          <w:lang w:val="en-US" w:eastAsia="zh-CN"/>
        </w:rPr>
      </w:pPr>
      <w:r>
        <w:rPr>
          <w:rFonts w:hint="eastAsia"/>
          <w:b w:val="0"/>
          <w:bCs w:val="0"/>
          <w:sz w:val="28"/>
          <w:szCs w:val="28"/>
          <w:lang w:val="en-US" w:eastAsia="zh-CN"/>
        </w:rPr>
        <w:t>综合组：负责物资的运输（皮卡车）。</w:t>
      </w:r>
    </w:p>
    <w:p>
      <w:pPr>
        <w:numPr>
          <w:ilvl w:val="0"/>
          <w:numId w:val="0"/>
        </w:numPr>
        <w:ind w:firstLine="560" w:firstLineChars="200"/>
        <w:jc w:val="left"/>
        <w:rPr>
          <w:rFonts w:hint="eastAsia"/>
          <w:b w:val="0"/>
          <w:bCs w:val="0"/>
          <w:sz w:val="28"/>
          <w:szCs w:val="28"/>
          <w:lang w:val="en-US" w:eastAsia="zh-CN"/>
        </w:rPr>
      </w:pPr>
      <w:r>
        <w:rPr>
          <w:rFonts w:hint="eastAsia"/>
          <w:b w:val="0"/>
          <w:bCs w:val="0"/>
          <w:sz w:val="28"/>
          <w:szCs w:val="28"/>
          <w:lang w:val="en-US" w:eastAsia="zh-CN"/>
        </w:rPr>
        <w:t>张明镜：负责清理出来的物资堆放管理。</w:t>
      </w:r>
    </w:p>
    <w:p>
      <w:pPr>
        <w:numPr>
          <w:ilvl w:val="0"/>
          <w:numId w:val="0"/>
        </w:numPr>
        <w:ind w:firstLine="560" w:firstLineChars="200"/>
        <w:jc w:val="left"/>
        <w:rPr>
          <w:rFonts w:hint="eastAsia"/>
          <w:b w:val="0"/>
          <w:bCs w:val="0"/>
          <w:sz w:val="28"/>
          <w:szCs w:val="28"/>
          <w:lang w:val="en-US" w:eastAsia="zh-CN"/>
        </w:rPr>
      </w:pPr>
      <w:r>
        <w:rPr>
          <w:rFonts w:hint="eastAsia"/>
          <w:b w:val="0"/>
          <w:bCs w:val="0"/>
          <w:sz w:val="28"/>
          <w:szCs w:val="28"/>
          <w:lang w:val="en-US" w:eastAsia="zh-CN"/>
        </w:rPr>
        <w:t>徐永红：负责清理物资的现场登记。</w:t>
      </w:r>
    </w:p>
    <w:p>
      <w:pPr>
        <w:numPr>
          <w:ilvl w:val="0"/>
          <w:numId w:val="0"/>
        </w:numPr>
        <w:ind w:firstLine="560" w:firstLineChars="200"/>
        <w:jc w:val="left"/>
        <w:rPr>
          <w:rFonts w:hint="eastAsia"/>
          <w:b w:val="0"/>
          <w:bCs w:val="0"/>
          <w:sz w:val="28"/>
          <w:szCs w:val="28"/>
          <w:lang w:val="en-US" w:eastAsia="zh-CN"/>
        </w:rPr>
      </w:pPr>
      <w:r>
        <w:rPr>
          <w:rFonts w:hint="eastAsia"/>
          <w:b w:val="0"/>
          <w:bCs w:val="0"/>
          <w:sz w:val="28"/>
          <w:szCs w:val="28"/>
          <w:lang w:val="en-US" w:eastAsia="zh-CN"/>
        </w:rPr>
        <w:t>安环组：负责本次清理工作的安全监督及检查。</w:t>
      </w:r>
    </w:p>
    <w:p>
      <w:pPr>
        <w:numPr>
          <w:ilvl w:val="0"/>
          <w:numId w:val="0"/>
        </w:numPr>
        <w:ind w:firstLine="560" w:firstLineChars="200"/>
        <w:jc w:val="left"/>
        <w:rPr>
          <w:rFonts w:hint="eastAsia"/>
          <w:b w:val="0"/>
          <w:bCs w:val="0"/>
          <w:sz w:val="28"/>
          <w:szCs w:val="28"/>
          <w:lang w:val="en-US" w:eastAsia="zh-CN"/>
        </w:rPr>
      </w:pPr>
      <w:r>
        <w:rPr>
          <w:rFonts w:hint="eastAsia"/>
          <w:b w:val="0"/>
          <w:bCs w:val="0"/>
          <w:sz w:val="28"/>
          <w:szCs w:val="28"/>
          <w:lang w:val="en-US" w:eastAsia="zh-CN"/>
        </w:rPr>
        <w:t>王小蓉：负责本次清理全面工作及协调工作。</w:t>
      </w:r>
    </w:p>
    <w:p>
      <w:pPr>
        <w:numPr>
          <w:ilvl w:val="0"/>
          <w:numId w:val="0"/>
        </w:numPr>
        <w:ind w:firstLine="562" w:firstLineChars="200"/>
        <w:jc w:val="left"/>
        <w:rPr>
          <w:rFonts w:hint="eastAsia"/>
          <w:b/>
          <w:bCs/>
          <w:sz w:val="28"/>
          <w:szCs w:val="28"/>
          <w:lang w:val="en-US" w:eastAsia="zh-CN"/>
        </w:rPr>
      </w:pPr>
      <w:r>
        <w:rPr>
          <w:rFonts w:hint="eastAsia"/>
          <w:b/>
          <w:bCs/>
          <w:sz w:val="28"/>
          <w:szCs w:val="28"/>
          <w:lang w:val="en-US" w:eastAsia="zh-CN"/>
        </w:rPr>
        <w:t>四、时间安排</w:t>
      </w:r>
    </w:p>
    <w:p>
      <w:pPr>
        <w:numPr>
          <w:ilvl w:val="0"/>
          <w:numId w:val="0"/>
        </w:numPr>
        <w:ind w:firstLine="560" w:firstLineChars="200"/>
        <w:jc w:val="left"/>
        <w:rPr>
          <w:rFonts w:hint="eastAsia"/>
          <w:b w:val="0"/>
          <w:bCs w:val="0"/>
          <w:sz w:val="28"/>
          <w:szCs w:val="28"/>
          <w:lang w:val="en-US" w:eastAsia="zh-CN"/>
        </w:rPr>
      </w:pPr>
      <w:r>
        <w:rPr>
          <w:rFonts w:hint="eastAsia"/>
          <w:b w:val="0"/>
          <w:bCs w:val="0"/>
          <w:sz w:val="28"/>
          <w:szCs w:val="28"/>
          <w:lang w:val="en-US" w:eastAsia="zh-CN"/>
        </w:rPr>
        <w:t>本次办公用品及物资清理原则上是安排在工作期间内完成，如需加班则需经领导批示后按规定核算加班工资。</w:t>
      </w:r>
    </w:p>
    <w:p>
      <w:pPr>
        <w:numPr>
          <w:ilvl w:val="0"/>
          <w:numId w:val="0"/>
        </w:numPr>
        <w:ind w:firstLine="560" w:firstLineChars="200"/>
        <w:jc w:val="left"/>
        <w:rPr>
          <w:rFonts w:hint="eastAsia"/>
          <w:b w:val="0"/>
          <w:bCs w:val="0"/>
          <w:sz w:val="28"/>
          <w:szCs w:val="28"/>
          <w:lang w:val="en-US" w:eastAsia="zh-CN"/>
        </w:rPr>
      </w:pPr>
      <w:r>
        <w:rPr>
          <w:rFonts w:hint="eastAsia"/>
          <w:b w:val="0"/>
          <w:bCs w:val="0"/>
          <w:sz w:val="28"/>
          <w:szCs w:val="28"/>
          <w:lang w:val="en-US" w:eastAsia="zh-CN"/>
        </w:rPr>
        <w:t>由于人员较少，加上空调拆除有一定的难度，故每个工段计划按照一周的工作时间核算。计划在2016年1月18日开始清理，2016年3月31日完成，具体时间计划见下表。</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2656"/>
        <w:gridCol w:w="1704"/>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51"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序号</w:t>
            </w:r>
          </w:p>
        </w:tc>
        <w:tc>
          <w:tcPr>
            <w:tcW w:w="2656"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时间</w:t>
            </w:r>
          </w:p>
        </w:tc>
        <w:tc>
          <w:tcPr>
            <w:tcW w:w="1704"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清理工段</w:t>
            </w:r>
          </w:p>
        </w:tc>
        <w:tc>
          <w:tcPr>
            <w:tcW w:w="1704"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工作负责人</w:t>
            </w:r>
          </w:p>
        </w:tc>
        <w:tc>
          <w:tcPr>
            <w:tcW w:w="1705"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51"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w:t>
            </w:r>
          </w:p>
        </w:tc>
        <w:tc>
          <w:tcPr>
            <w:tcW w:w="2656"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2016.1.18——2016.1.22</w:t>
            </w:r>
          </w:p>
        </w:tc>
        <w:tc>
          <w:tcPr>
            <w:tcW w:w="1704"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原料</w:t>
            </w:r>
          </w:p>
        </w:tc>
        <w:tc>
          <w:tcPr>
            <w:tcW w:w="1704" w:type="dxa"/>
            <w:vAlign w:val="center"/>
          </w:tcPr>
          <w:p>
            <w:pPr>
              <w:numPr>
                <w:ilvl w:val="0"/>
                <w:numId w:val="0"/>
              </w:numPr>
              <w:jc w:val="center"/>
              <w:rPr>
                <w:rFonts w:hint="eastAsia"/>
                <w:b w:val="0"/>
                <w:bCs w:val="0"/>
                <w:sz w:val="24"/>
                <w:szCs w:val="24"/>
                <w:vertAlign w:val="baseline"/>
                <w:lang w:val="en-US" w:eastAsia="zh-CN"/>
              </w:rPr>
            </w:pPr>
          </w:p>
        </w:tc>
        <w:tc>
          <w:tcPr>
            <w:tcW w:w="1705" w:type="dxa"/>
            <w:vAlign w:val="center"/>
          </w:tcPr>
          <w:p>
            <w:pPr>
              <w:numPr>
                <w:ilvl w:val="0"/>
                <w:numId w:val="0"/>
              </w:numPr>
              <w:jc w:val="cente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51"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2</w:t>
            </w:r>
          </w:p>
        </w:tc>
        <w:tc>
          <w:tcPr>
            <w:tcW w:w="2656"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2016.1.25——2016.1.29</w:t>
            </w:r>
          </w:p>
        </w:tc>
        <w:tc>
          <w:tcPr>
            <w:tcW w:w="1704"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溶出</w:t>
            </w:r>
          </w:p>
        </w:tc>
        <w:tc>
          <w:tcPr>
            <w:tcW w:w="1704" w:type="dxa"/>
            <w:vAlign w:val="center"/>
          </w:tcPr>
          <w:p>
            <w:pPr>
              <w:numPr>
                <w:ilvl w:val="0"/>
                <w:numId w:val="0"/>
              </w:numPr>
              <w:jc w:val="center"/>
              <w:rPr>
                <w:rFonts w:hint="eastAsia"/>
                <w:b w:val="0"/>
                <w:bCs w:val="0"/>
                <w:sz w:val="24"/>
                <w:szCs w:val="24"/>
                <w:vertAlign w:val="baseline"/>
                <w:lang w:val="en-US" w:eastAsia="zh-CN"/>
              </w:rPr>
            </w:pPr>
          </w:p>
        </w:tc>
        <w:tc>
          <w:tcPr>
            <w:tcW w:w="1705" w:type="dxa"/>
            <w:vAlign w:val="center"/>
          </w:tcPr>
          <w:p>
            <w:pPr>
              <w:numPr>
                <w:ilvl w:val="0"/>
                <w:numId w:val="0"/>
              </w:numPr>
              <w:jc w:val="cente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51"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3</w:t>
            </w:r>
          </w:p>
        </w:tc>
        <w:tc>
          <w:tcPr>
            <w:tcW w:w="2656"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2016.2.22——2016.2.26</w:t>
            </w:r>
          </w:p>
        </w:tc>
        <w:tc>
          <w:tcPr>
            <w:tcW w:w="1704"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沉降</w:t>
            </w:r>
          </w:p>
        </w:tc>
        <w:tc>
          <w:tcPr>
            <w:tcW w:w="1704" w:type="dxa"/>
            <w:vAlign w:val="center"/>
          </w:tcPr>
          <w:p>
            <w:pPr>
              <w:numPr>
                <w:ilvl w:val="0"/>
                <w:numId w:val="0"/>
              </w:numPr>
              <w:jc w:val="center"/>
              <w:rPr>
                <w:rFonts w:hint="eastAsia"/>
                <w:b w:val="0"/>
                <w:bCs w:val="0"/>
                <w:sz w:val="24"/>
                <w:szCs w:val="24"/>
                <w:vertAlign w:val="baseline"/>
                <w:lang w:val="en-US" w:eastAsia="zh-CN"/>
              </w:rPr>
            </w:pPr>
          </w:p>
        </w:tc>
        <w:tc>
          <w:tcPr>
            <w:tcW w:w="1705" w:type="dxa"/>
            <w:vAlign w:val="center"/>
          </w:tcPr>
          <w:p>
            <w:pPr>
              <w:numPr>
                <w:ilvl w:val="0"/>
                <w:numId w:val="0"/>
              </w:numPr>
              <w:jc w:val="cente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51"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4</w:t>
            </w:r>
          </w:p>
        </w:tc>
        <w:tc>
          <w:tcPr>
            <w:tcW w:w="2656"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2016.2.29——2016.3.4</w:t>
            </w:r>
          </w:p>
        </w:tc>
        <w:tc>
          <w:tcPr>
            <w:tcW w:w="1704"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蒸发</w:t>
            </w:r>
          </w:p>
        </w:tc>
        <w:tc>
          <w:tcPr>
            <w:tcW w:w="1704" w:type="dxa"/>
            <w:vAlign w:val="center"/>
          </w:tcPr>
          <w:p>
            <w:pPr>
              <w:numPr>
                <w:ilvl w:val="0"/>
                <w:numId w:val="0"/>
              </w:numPr>
              <w:jc w:val="center"/>
              <w:rPr>
                <w:rFonts w:hint="eastAsia"/>
                <w:b w:val="0"/>
                <w:bCs w:val="0"/>
                <w:sz w:val="24"/>
                <w:szCs w:val="24"/>
                <w:vertAlign w:val="baseline"/>
                <w:lang w:val="en-US" w:eastAsia="zh-CN"/>
              </w:rPr>
            </w:pPr>
          </w:p>
        </w:tc>
        <w:tc>
          <w:tcPr>
            <w:tcW w:w="1705" w:type="dxa"/>
            <w:vAlign w:val="center"/>
          </w:tcPr>
          <w:p>
            <w:pPr>
              <w:numPr>
                <w:ilvl w:val="0"/>
                <w:numId w:val="0"/>
              </w:numPr>
              <w:jc w:val="cente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51"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5</w:t>
            </w:r>
          </w:p>
        </w:tc>
        <w:tc>
          <w:tcPr>
            <w:tcW w:w="2656"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2016.3.7——2016.3.11</w:t>
            </w:r>
          </w:p>
        </w:tc>
        <w:tc>
          <w:tcPr>
            <w:tcW w:w="1704"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分解</w:t>
            </w:r>
          </w:p>
        </w:tc>
        <w:tc>
          <w:tcPr>
            <w:tcW w:w="1704" w:type="dxa"/>
            <w:vAlign w:val="center"/>
          </w:tcPr>
          <w:p>
            <w:pPr>
              <w:numPr>
                <w:ilvl w:val="0"/>
                <w:numId w:val="0"/>
              </w:numPr>
              <w:jc w:val="center"/>
              <w:rPr>
                <w:rFonts w:hint="eastAsia"/>
                <w:b w:val="0"/>
                <w:bCs w:val="0"/>
                <w:sz w:val="24"/>
                <w:szCs w:val="24"/>
                <w:vertAlign w:val="baseline"/>
                <w:lang w:val="en-US" w:eastAsia="zh-CN"/>
              </w:rPr>
            </w:pPr>
          </w:p>
        </w:tc>
        <w:tc>
          <w:tcPr>
            <w:tcW w:w="1705" w:type="dxa"/>
            <w:vAlign w:val="center"/>
          </w:tcPr>
          <w:p>
            <w:pPr>
              <w:numPr>
                <w:ilvl w:val="0"/>
                <w:numId w:val="0"/>
              </w:numPr>
              <w:jc w:val="cente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51"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6</w:t>
            </w:r>
          </w:p>
        </w:tc>
        <w:tc>
          <w:tcPr>
            <w:tcW w:w="2656"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2016.3.14——2016.3.18</w:t>
            </w:r>
          </w:p>
        </w:tc>
        <w:tc>
          <w:tcPr>
            <w:tcW w:w="1704"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焙烧</w:t>
            </w:r>
          </w:p>
        </w:tc>
        <w:tc>
          <w:tcPr>
            <w:tcW w:w="1704" w:type="dxa"/>
            <w:vAlign w:val="center"/>
          </w:tcPr>
          <w:p>
            <w:pPr>
              <w:numPr>
                <w:ilvl w:val="0"/>
                <w:numId w:val="0"/>
              </w:numPr>
              <w:jc w:val="center"/>
              <w:rPr>
                <w:rFonts w:hint="eastAsia"/>
                <w:b w:val="0"/>
                <w:bCs w:val="0"/>
                <w:sz w:val="24"/>
                <w:szCs w:val="24"/>
                <w:vertAlign w:val="baseline"/>
                <w:lang w:val="en-US" w:eastAsia="zh-CN"/>
              </w:rPr>
            </w:pPr>
          </w:p>
        </w:tc>
        <w:tc>
          <w:tcPr>
            <w:tcW w:w="1705" w:type="dxa"/>
            <w:vAlign w:val="center"/>
          </w:tcPr>
          <w:p>
            <w:pPr>
              <w:numPr>
                <w:ilvl w:val="0"/>
                <w:numId w:val="0"/>
              </w:numPr>
              <w:jc w:val="cente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51"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7</w:t>
            </w:r>
          </w:p>
        </w:tc>
        <w:tc>
          <w:tcPr>
            <w:tcW w:w="2656"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2015.3.21——2016.3.25</w:t>
            </w:r>
          </w:p>
        </w:tc>
        <w:tc>
          <w:tcPr>
            <w:tcW w:w="1704"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动力</w:t>
            </w:r>
          </w:p>
        </w:tc>
        <w:tc>
          <w:tcPr>
            <w:tcW w:w="1704" w:type="dxa"/>
            <w:vAlign w:val="center"/>
          </w:tcPr>
          <w:p>
            <w:pPr>
              <w:numPr>
                <w:ilvl w:val="0"/>
                <w:numId w:val="0"/>
              </w:numPr>
              <w:jc w:val="center"/>
              <w:rPr>
                <w:rFonts w:hint="eastAsia"/>
                <w:b w:val="0"/>
                <w:bCs w:val="0"/>
                <w:sz w:val="24"/>
                <w:szCs w:val="24"/>
                <w:vertAlign w:val="baseline"/>
                <w:lang w:val="en-US" w:eastAsia="zh-CN"/>
              </w:rPr>
            </w:pPr>
          </w:p>
        </w:tc>
        <w:tc>
          <w:tcPr>
            <w:tcW w:w="1705" w:type="dxa"/>
            <w:vAlign w:val="center"/>
          </w:tcPr>
          <w:p>
            <w:pPr>
              <w:numPr>
                <w:ilvl w:val="0"/>
                <w:numId w:val="0"/>
              </w:numPr>
              <w:jc w:val="cente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51"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8</w:t>
            </w:r>
          </w:p>
        </w:tc>
        <w:tc>
          <w:tcPr>
            <w:tcW w:w="2656"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2016.3.28——2016.3.31</w:t>
            </w:r>
          </w:p>
        </w:tc>
        <w:tc>
          <w:tcPr>
            <w:tcW w:w="1704" w:type="dxa"/>
            <w:vAlign w:val="center"/>
          </w:tcPr>
          <w:p>
            <w:pPr>
              <w:numPr>
                <w:ilvl w:val="0"/>
                <w:numId w:val="0"/>
              </w:num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热力</w:t>
            </w:r>
          </w:p>
        </w:tc>
        <w:tc>
          <w:tcPr>
            <w:tcW w:w="1704" w:type="dxa"/>
            <w:vAlign w:val="center"/>
          </w:tcPr>
          <w:p>
            <w:pPr>
              <w:numPr>
                <w:ilvl w:val="0"/>
                <w:numId w:val="0"/>
              </w:numPr>
              <w:jc w:val="center"/>
              <w:rPr>
                <w:rFonts w:hint="eastAsia"/>
                <w:b w:val="0"/>
                <w:bCs w:val="0"/>
                <w:sz w:val="24"/>
                <w:szCs w:val="24"/>
                <w:vertAlign w:val="baseline"/>
                <w:lang w:val="en-US" w:eastAsia="zh-CN"/>
              </w:rPr>
            </w:pPr>
          </w:p>
        </w:tc>
        <w:tc>
          <w:tcPr>
            <w:tcW w:w="1705" w:type="dxa"/>
            <w:vAlign w:val="center"/>
          </w:tcPr>
          <w:p>
            <w:pPr>
              <w:numPr>
                <w:ilvl w:val="0"/>
                <w:numId w:val="0"/>
              </w:numPr>
              <w:jc w:val="center"/>
              <w:rPr>
                <w:rFonts w:hint="eastAsia"/>
                <w:b w:val="0"/>
                <w:bCs w:val="0"/>
                <w:sz w:val="24"/>
                <w:szCs w:val="24"/>
                <w:vertAlign w:val="baseline"/>
                <w:lang w:val="en-US" w:eastAsia="zh-CN"/>
              </w:rPr>
            </w:pPr>
          </w:p>
        </w:tc>
      </w:tr>
    </w:tbl>
    <w:p>
      <w:pPr>
        <w:numPr>
          <w:ilvl w:val="0"/>
          <w:numId w:val="0"/>
        </w:numPr>
        <w:jc w:val="left"/>
        <w:rPr>
          <w:rFonts w:hint="eastAsia"/>
          <w:b w:val="0"/>
          <w:bCs w:val="0"/>
          <w:sz w:val="24"/>
          <w:szCs w:val="24"/>
          <w:lang w:val="en-US" w:eastAsia="zh-CN"/>
        </w:rPr>
      </w:pPr>
      <w:r>
        <w:rPr>
          <w:rFonts w:hint="eastAsia"/>
          <w:b w:val="0"/>
          <w:bCs w:val="0"/>
          <w:sz w:val="24"/>
          <w:szCs w:val="24"/>
          <w:lang w:val="en-US" w:eastAsia="zh-CN"/>
        </w:rPr>
        <w:t>注：如遇放假、不可预见的因素或某工段清理时间超出计划时间，则以后工段清理时间按照次序顺延。</w:t>
      </w:r>
    </w:p>
    <w:p>
      <w:pPr>
        <w:numPr>
          <w:ilvl w:val="0"/>
          <w:numId w:val="2"/>
        </w:numPr>
        <w:ind w:firstLine="562" w:firstLineChars="200"/>
        <w:jc w:val="left"/>
        <w:rPr>
          <w:rFonts w:hint="eastAsia"/>
          <w:b/>
          <w:bCs/>
          <w:sz w:val="28"/>
          <w:szCs w:val="28"/>
          <w:lang w:val="en-US" w:eastAsia="zh-CN"/>
        </w:rPr>
      </w:pPr>
      <w:r>
        <w:rPr>
          <w:rFonts w:hint="eastAsia"/>
          <w:b/>
          <w:bCs/>
          <w:sz w:val="28"/>
          <w:szCs w:val="28"/>
          <w:lang w:val="en-US" w:eastAsia="zh-CN"/>
        </w:rPr>
        <w:t>物资管理</w:t>
      </w:r>
    </w:p>
    <w:p>
      <w:pPr>
        <w:numPr>
          <w:ilvl w:val="0"/>
          <w:numId w:val="0"/>
        </w:numPr>
        <w:ind w:firstLine="560" w:firstLineChars="200"/>
        <w:jc w:val="left"/>
        <w:rPr>
          <w:rFonts w:hint="eastAsia"/>
          <w:b w:val="0"/>
          <w:bCs w:val="0"/>
          <w:sz w:val="28"/>
          <w:szCs w:val="28"/>
          <w:lang w:val="en-US" w:eastAsia="zh-CN"/>
        </w:rPr>
      </w:pPr>
      <w:r>
        <w:rPr>
          <w:rFonts w:hint="eastAsia"/>
          <w:b w:val="0"/>
          <w:bCs w:val="0"/>
          <w:sz w:val="28"/>
          <w:szCs w:val="28"/>
          <w:lang w:val="en-US" w:eastAsia="zh-CN"/>
        </w:rPr>
        <w:t>车间办公用品及物资清理完成后，核对好账目，由物资组统一管理。</w:t>
      </w:r>
    </w:p>
    <w:p>
      <w:pPr>
        <w:numPr>
          <w:ilvl w:val="0"/>
          <w:numId w:val="0"/>
        </w:numPr>
        <w:ind w:firstLine="560" w:firstLineChars="200"/>
        <w:jc w:val="left"/>
        <w:rPr>
          <w:rFonts w:hint="eastAsia"/>
          <w:b w:val="0"/>
          <w:bCs w:val="0"/>
          <w:sz w:val="28"/>
          <w:szCs w:val="28"/>
          <w:lang w:val="en-US" w:eastAsia="zh-CN"/>
        </w:rPr>
      </w:pPr>
    </w:p>
    <w:p>
      <w:pPr>
        <w:numPr>
          <w:ilvl w:val="0"/>
          <w:numId w:val="0"/>
        </w:numPr>
        <w:ind w:firstLine="560" w:firstLineChars="200"/>
        <w:jc w:val="left"/>
        <w:rPr>
          <w:rFonts w:hint="eastAsia"/>
          <w:b w:val="0"/>
          <w:bCs w:val="0"/>
          <w:sz w:val="28"/>
          <w:szCs w:val="28"/>
          <w:lang w:val="en-US" w:eastAsia="zh-CN"/>
        </w:rPr>
      </w:pPr>
    </w:p>
    <w:p>
      <w:pPr>
        <w:numPr>
          <w:ilvl w:val="0"/>
          <w:numId w:val="0"/>
        </w:numPr>
        <w:ind w:firstLine="560" w:firstLineChars="200"/>
        <w:jc w:val="left"/>
        <w:rPr>
          <w:rFonts w:hint="eastAsia"/>
          <w:b w:val="0"/>
          <w:bCs w:val="0"/>
          <w:sz w:val="28"/>
          <w:szCs w:val="28"/>
          <w:lang w:val="en-US" w:eastAsia="zh-CN"/>
        </w:rPr>
      </w:pPr>
    </w:p>
    <w:p>
      <w:pPr>
        <w:numPr>
          <w:ilvl w:val="0"/>
          <w:numId w:val="0"/>
        </w:numPr>
        <w:ind w:firstLine="560" w:firstLineChars="200"/>
        <w:jc w:val="left"/>
        <w:rPr>
          <w:rFonts w:hint="eastAsia"/>
          <w:b w:val="0"/>
          <w:bCs w:val="0"/>
          <w:sz w:val="28"/>
          <w:szCs w:val="28"/>
          <w:lang w:val="en-US" w:eastAsia="zh-CN"/>
        </w:rPr>
      </w:pPr>
    </w:p>
    <w:p>
      <w:pPr>
        <w:numPr>
          <w:ilvl w:val="0"/>
          <w:numId w:val="0"/>
        </w:numPr>
        <w:ind w:firstLine="560" w:firstLineChars="200"/>
        <w:jc w:val="left"/>
        <w:rPr>
          <w:rFonts w:hint="eastAsia"/>
          <w:b w:val="0"/>
          <w:bCs w:val="0"/>
          <w:sz w:val="28"/>
          <w:szCs w:val="28"/>
          <w:lang w:val="en-US" w:eastAsia="zh-CN"/>
        </w:rPr>
      </w:pPr>
    </w:p>
    <w:p>
      <w:pPr>
        <w:numPr>
          <w:ilvl w:val="0"/>
          <w:numId w:val="0"/>
        </w:numPr>
        <w:ind w:firstLine="560" w:firstLineChars="200"/>
        <w:jc w:val="left"/>
        <w:rPr>
          <w:rFonts w:hint="eastAsia"/>
          <w:b w:val="0"/>
          <w:bCs w:val="0"/>
          <w:sz w:val="28"/>
          <w:szCs w:val="28"/>
          <w:lang w:val="en-US" w:eastAsia="zh-CN"/>
        </w:rPr>
      </w:pPr>
    </w:p>
    <w:p>
      <w:pPr>
        <w:numPr>
          <w:ilvl w:val="0"/>
          <w:numId w:val="0"/>
        </w:numPr>
        <w:ind w:firstLine="560" w:firstLineChars="200"/>
        <w:jc w:val="left"/>
        <w:rPr>
          <w:rFonts w:hint="eastAsia"/>
          <w:b w:val="0"/>
          <w:bCs w:val="0"/>
          <w:sz w:val="28"/>
          <w:szCs w:val="28"/>
          <w:lang w:val="en-US" w:eastAsia="zh-CN"/>
        </w:rPr>
      </w:pPr>
    </w:p>
    <w:p>
      <w:pPr>
        <w:numPr>
          <w:ilvl w:val="0"/>
          <w:numId w:val="0"/>
        </w:numPr>
        <w:ind w:firstLine="560" w:firstLineChars="200"/>
        <w:jc w:val="left"/>
        <w:rPr>
          <w:rFonts w:hint="eastAsia"/>
          <w:b w:val="0"/>
          <w:bCs w:val="0"/>
          <w:sz w:val="28"/>
          <w:szCs w:val="28"/>
          <w:lang w:val="en-US" w:eastAsia="zh-CN"/>
        </w:rPr>
      </w:pPr>
    </w:p>
    <w:p>
      <w:pPr>
        <w:numPr>
          <w:ilvl w:val="0"/>
          <w:numId w:val="0"/>
        </w:numPr>
        <w:ind w:firstLine="560" w:firstLineChars="200"/>
        <w:jc w:val="left"/>
        <w:rPr>
          <w:rFonts w:hint="eastAsia"/>
          <w:b w:val="0"/>
          <w:bCs w:val="0"/>
          <w:sz w:val="28"/>
          <w:szCs w:val="28"/>
          <w:lang w:val="en-US" w:eastAsia="zh-CN"/>
        </w:rPr>
      </w:pPr>
    </w:p>
    <w:p>
      <w:pPr>
        <w:numPr>
          <w:ilvl w:val="0"/>
          <w:numId w:val="0"/>
        </w:numPr>
        <w:jc w:val="left"/>
        <w:rPr>
          <w:rFonts w:hint="eastAsia"/>
          <w:b w:val="0"/>
          <w:bCs w:val="0"/>
          <w:sz w:val="28"/>
          <w:szCs w:val="28"/>
          <w:lang w:val="en-US" w:eastAsia="zh-CN"/>
        </w:rPr>
      </w:pPr>
    </w:p>
    <w:p>
      <w:pPr>
        <w:numPr>
          <w:ilvl w:val="0"/>
          <w:numId w:val="0"/>
        </w:numPr>
        <w:ind w:firstLine="560" w:firstLineChars="200"/>
        <w:jc w:val="left"/>
        <w:rPr>
          <w:rFonts w:hint="eastAsia"/>
          <w:b w:val="0"/>
          <w:bCs w:val="0"/>
          <w:sz w:val="28"/>
          <w:szCs w:val="28"/>
          <w:lang w:val="en-US" w:eastAsia="zh-CN"/>
        </w:rPr>
      </w:pPr>
    </w:p>
    <w:p>
      <w:pPr>
        <w:numPr>
          <w:ilvl w:val="0"/>
          <w:numId w:val="0"/>
        </w:numPr>
        <w:ind w:firstLine="560" w:firstLineChars="200"/>
        <w:jc w:val="left"/>
        <w:rPr>
          <w:rFonts w:hint="eastAsia"/>
          <w:b w:val="0"/>
          <w:bCs w:val="0"/>
          <w:sz w:val="28"/>
          <w:szCs w:val="28"/>
          <w:lang w:val="en-US" w:eastAsia="zh-CN"/>
        </w:rPr>
      </w:pPr>
    </w:p>
    <w:p>
      <w:pPr>
        <w:numPr>
          <w:ilvl w:val="0"/>
          <w:numId w:val="0"/>
        </w:numPr>
        <w:jc w:val="both"/>
        <w:rPr>
          <w:rFonts w:hint="eastAsia"/>
          <w:b w:val="0"/>
          <w:bCs w:val="0"/>
          <w:sz w:val="28"/>
          <w:szCs w:val="28"/>
          <w:lang w:val="en-US" w:eastAsia="zh-CN"/>
        </w:rPr>
      </w:pPr>
      <w:r>
        <w:rPr>
          <w:rFonts w:hint="eastAsia"/>
          <w:b w:val="0"/>
          <w:bCs w:val="0"/>
          <w:sz w:val="28"/>
          <w:szCs w:val="28"/>
          <w:lang w:val="en-US" w:eastAsia="zh-CN"/>
        </w:rPr>
        <w:t xml:space="preserve">附件：       </w:t>
      </w:r>
    </w:p>
    <w:p>
      <w:pPr>
        <w:numPr>
          <w:ilvl w:val="0"/>
          <w:numId w:val="0"/>
        </w:numPr>
        <w:jc w:val="center"/>
        <w:rPr>
          <w:rFonts w:hint="eastAsia" w:ascii="黑体" w:hAnsi="黑体" w:eastAsia="黑体" w:cs="黑体"/>
          <w:b/>
          <w:bCs/>
          <w:sz w:val="36"/>
          <w:szCs w:val="36"/>
          <w:lang w:val="en-US" w:eastAsia="zh-CN"/>
        </w:rPr>
      </w:pPr>
      <w:bookmarkStart w:id="0" w:name="_GoBack"/>
      <w:bookmarkEnd w:id="0"/>
      <w:r>
        <w:rPr>
          <w:rFonts w:hint="eastAsia" w:ascii="黑体" w:hAnsi="黑体" w:eastAsia="黑体" w:cs="黑体"/>
          <w:b/>
          <w:bCs/>
          <w:sz w:val="36"/>
          <w:szCs w:val="36"/>
          <w:lang w:val="en-US" w:eastAsia="zh-CN"/>
        </w:rPr>
        <w:t>办公用品及物资清理登记表</w:t>
      </w:r>
    </w:p>
    <w:p>
      <w:pPr>
        <w:numPr>
          <w:ilvl w:val="0"/>
          <w:numId w:val="0"/>
        </w:numPr>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工段：</w:t>
      </w:r>
      <w:r>
        <w:rPr>
          <w:rFonts w:hint="eastAsia" w:ascii="黑体" w:hAnsi="黑体" w:eastAsia="黑体" w:cs="黑体"/>
          <w:b w:val="0"/>
          <w:bCs w:val="0"/>
          <w:sz w:val="28"/>
          <w:szCs w:val="28"/>
          <w:u w:val="single"/>
          <w:lang w:val="en-US" w:eastAsia="zh-CN"/>
        </w:rPr>
        <w:t xml:space="preserve">           </w:t>
      </w:r>
      <w:r>
        <w:rPr>
          <w:rFonts w:hint="eastAsia" w:ascii="黑体" w:hAnsi="黑体" w:eastAsia="黑体" w:cs="黑体"/>
          <w:b w:val="0"/>
          <w:bCs w:val="0"/>
          <w:sz w:val="28"/>
          <w:szCs w:val="28"/>
          <w:lang w:val="en-US" w:eastAsia="zh-CN"/>
        </w:rPr>
        <w:t xml:space="preserve">                     日期：</w:t>
      </w:r>
      <w:r>
        <w:rPr>
          <w:rFonts w:hint="eastAsia" w:ascii="黑体" w:hAnsi="黑体" w:eastAsia="黑体" w:cs="黑体"/>
          <w:b w:val="0"/>
          <w:bCs w:val="0"/>
          <w:sz w:val="28"/>
          <w:szCs w:val="28"/>
          <w:u w:val="single"/>
          <w:lang w:val="en-US" w:eastAsia="zh-CN"/>
        </w:rPr>
        <w:t xml:space="preserve">   </w:t>
      </w:r>
      <w:r>
        <w:rPr>
          <w:rFonts w:hint="eastAsia" w:ascii="黑体" w:hAnsi="黑体" w:eastAsia="黑体" w:cs="黑体"/>
          <w:b w:val="0"/>
          <w:bCs w:val="0"/>
          <w:sz w:val="28"/>
          <w:szCs w:val="28"/>
          <w:lang w:val="en-US" w:eastAsia="zh-CN"/>
        </w:rPr>
        <w:t>年</w:t>
      </w:r>
      <w:r>
        <w:rPr>
          <w:rFonts w:hint="eastAsia" w:ascii="黑体" w:hAnsi="黑体" w:eastAsia="黑体" w:cs="黑体"/>
          <w:b w:val="0"/>
          <w:bCs w:val="0"/>
          <w:sz w:val="28"/>
          <w:szCs w:val="28"/>
          <w:u w:val="single"/>
          <w:lang w:val="en-US" w:eastAsia="zh-CN"/>
        </w:rPr>
        <w:t xml:space="preserve">   </w:t>
      </w:r>
      <w:r>
        <w:rPr>
          <w:rFonts w:hint="eastAsia" w:ascii="黑体" w:hAnsi="黑体" w:eastAsia="黑体" w:cs="黑体"/>
          <w:b w:val="0"/>
          <w:bCs w:val="0"/>
          <w:sz w:val="28"/>
          <w:szCs w:val="28"/>
          <w:lang w:val="en-US" w:eastAsia="zh-CN"/>
        </w:rPr>
        <w:t>月</w:t>
      </w:r>
      <w:r>
        <w:rPr>
          <w:rFonts w:hint="eastAsia" w:ascii="黑体" w:hAnsi="黑体" w:eastAsia="黑体" w:cs="黑体"/>
          <w:b w:val="0"/>
          <w:bCs w:val="0"/>
          <w:sz w:val="28"/>
          <w:szCs w:val="28"/>
          <w:u w:val="single"/>
          <w:lang w:val="en-US" w:eastAsia="zh-CN"/>
        </w:rPr>
        <w:t xml:space="preserve">   </w:t>
      </w:r>
      <w:r>
        <w:rPr>
          <w:rFonts w:hint="eastAsia" w:ascii="黑体" w:hAnsi="黑体" w:eastAsia="黑体" w:cs="黑体"/>
          <w:b w:val="0"/>
          <w:bCs w:val="0"/>
          <w:sz w:val="28"/>
          <w:szCs w:val="28"/>
          <w:lang w:val="en-US" w:eastAsia="zh-CN"/>
        </w:rPr>
        <w:t>日</w:t>
      </w:r>
    </w:p>
    <w:tbl>
      <w:tblPr>
        <w:tblStyle w:val="5"/>
        <w:tblW w:w="8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239"/>
        <w:gridCol w:w="2715"/>
        <w:gridCol w:w="1050"/>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747" w:type="dxa"/>
            <w:vAlign w:val="center"/>
          </w:tcPr>
          <w:p>
            <w:pPr>
              <w:numPr>
                <w:ilvl w:val="0"/>
                <w:numId w:val="0"/>
              </w:num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序号</w:t>
            </w:r>
          </w:p>
        </w:tc>
        <w:tc>
          <w:tcPr>
            <w:tcW w:w="2239" w:type="dxa"/>
            <w:vAlign w:val="center"/>
          </w:tcPr>
          <w:p>
            <w:pPr>
              <w:numPr>
                <w:ilvl w:val="0"/>
                <w:numId w:val="0"/>
              </w:num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名称</w:t>
            </w:r>
          </w:p>
        </w:tc>
        <w:tc>
          <w:tcPr>
            <w:tcW w:w="2715" w:type="dxa"/>
            <w:vAlign w:val="center"/>
          </w:tcPr>
          <w:p>
            <w:pPr>
              <w:numPr>
                <w:ilvl w:val="0"/>
                <w:numId w:val="0"/>
              </w:num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规格型号</w:t>
            </w:r>
          </w:p>
        </w:tc>
        <w:tc>
          <w:tcPr>
            <w:tcW w:w="1050" w:type="dxa"/>
            <w:vAlign w:val="center"/>
          </w:tcPr>
          <w:p>
            <w:pPr>
              <w:numPr>
                <w:ilvl w:val="0"/>
                <w:numId w:val="0"/>
              </w:num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数量</w:t>
            </w:r>
          </w:p>
        </w:tc>
        <w:tc>
          <w:tcPr>
            <w:tcW w:w="1665" w:type="dxa"/>
            <w:vAlign w:val="center"/>
          </w:tcPr>
          <w:p>
            <w:pPr>
              <w:numPr>
                <w:ilvl w:val="0"/>
                <w:numId w:val="0"/>
              </w:num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exact"/>
        </w:trPr>
        <w:tc>
          <w:tcPr>
            <w:tcW w:w="747"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239"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71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050"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66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747"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239"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71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050"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66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747"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239"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71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050"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66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747"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239"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71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050"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66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747"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239"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71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050"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66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exact"/>
        </w:trPr>
        <w:tc>
          <w:tcPr>
            <w:tcW w:w="747"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239"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71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050"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66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747"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239"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71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050"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66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747"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239"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71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050"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66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exact"/>
        </w:trPr>
        <w:tc>
          <w:tcPr>
            <w:tcW w:w="747"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239"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71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050"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66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747"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239"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71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050"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66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747"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239"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71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050"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66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747"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239"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71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050"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66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exact"/>
        </w:trPr>
        <w:tc>
          <w:tcPr>
            <w:tcW w:w="747"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239"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71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050"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66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747"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239"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71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050"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66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747"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239"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71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050"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66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747"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239"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71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050"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66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747"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239"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71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050"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66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747"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239"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71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050"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66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exact"/>
        </w:trPr>
        <w:tc>
          <w:tcPr>
            <w:tcW w:w="747"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239"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71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050"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66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747"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239"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71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050"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66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747"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239"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71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050"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66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747"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239"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71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050"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66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747"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239"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71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050"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66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747"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239"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71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050"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66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747"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239"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71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050"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66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747"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239"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271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050"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c>
          <w:tcPr>
            <w:tcW w:w="1665" w:type="dxa"/>
            <w:vAlign w:val="center"/>
          </w:tcPr>
          <w:p>
            <w:pPr>
              <w:numPr>
                <w:ilvl w:val="0"/>
                <w:numId w:val="0"/>
              </w:numPr>
              <w:jc w:val="center"/>
              <w:rPr>
                <w:rFonts w:hint="eastAsia" w:ascii="黑体" w:hAnsi="黑体" w:eastAsia="黑体" w:cs="黑体"/>
                <w:b w:val="0"/>
                <w:bCs w:val="0"/>
                <w:sz w:val="28"/>
                <w:szCs w:val="28"/>
                <w:vertAlign w:val="baseline"/>
                <w:lang w:val="en-US" w:eastAsia="zh-CN"/>
              </w:rPr>
            </w:pPr>
          </w:p>
        </w:tc>
      </w:tr>
    </w:tbl>
    <w:p>
      <w:pPr>
        <w:numPr>
          <w:ilvl w:val="0"/>
          <w:numId w:val="0"/>
        </w:numPr>
        <w:jc w:val="left"/>
        <w:rPr>
          <w:rFonts w:hint="eastAsia" w:ascii="黑体" w:hAnsi="黑体" w:eastAsia="黑体" w:cs="黑体"/>
          <w:b w:val="0"/>
          <w:bCs w:val="0"/>
          <w:sz w:val="24"/>
          <w:szCs w:val="24"/>
          <w:lang w:val="en-US" w:eastAsia="zh-CN"/>
        </w:rPr>
      </w:pPr>
    </w:p>
    <w:p>
      <w:pPr>
        <w:numPr>
          <w:ilvl w:val="0"/>
          <w:numId w:val="0"/>
        </w:numPr>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工作负责人：       工段负责人 ：        仓库负责人：       登记人：</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DBDF1"/>
    <w:multiLevelType w:val="singleLevel"/>
    <w:tmpl w:val="568DBDF1"/>
    <w:lvl w:ilvl="0" w:tentative="0">
      <w:start w:val="1"/>
      <w:numFmt w:val="chineseCounting"/>
      <w:suff w:val="nothing"/>
      <w:lvlText w:val="%1、"/>
      <w:lvlJc w:val="left"/>
    </w:lvl>
  </w:abstractNum>
  <w:abstractNum w:abstractNumId="1">
    <w:nsid w:val="568DCDC8"/>
    <w:multiLevelType w:val="singleLevel"/>
    <w:tmpl w:val="568DCDC8"/>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F3569"/>
    <w:rsid w:val="01A94EF2"/>
    <w:rsid w:val="02AF3569"/>
    <w:rsid w:val="03B8524B"/>
    <w:rsid w:val="0BB27DC8"/>
    <w:rsid w:val="0D2F57B9"/>
    <w:rsid w:val="11581F40"/>
    <w:rsid w:val="14E36EE1"/>
    <w:rsid w:val="19187196"/>
    <w:rsid w:val="1DFE043F"/>
    <w:rsid w:val="20BC0680"/>
    <w:rsid w:val="232551F1"/>
    <w:rsid w:val="2860011C"/>
    <w:rsid w:val="2A604EA1"/>
    <w:rsid w:val="2B1A4CBA"/>
    <w:rsid w:val="32A44CBF"/>
    <w:rsid w:val="35146D74"/>
    <w:rsid w:val="3E8B602F"/>
    <w:rsid w:val="400B29B1"/>
    <w:rsid w:val="40FC11AA"/>
    <w:rsid w:val="485D30F7"/>
    <w:rsid w:val="489E1F97"/>
    <w:rsid w:val="5082626D"/>
    <w:rsid w:val="50C116FB"/>
    <w:rsid w:val="545C6020"/>
    <w:rsid w:val="56CB3249"/>
    <w:rsid w:val="5BCA4B89"/>
    <w:rsid w:val="5CA810B6"/>
    <w:rsid w:val="5E5C15B3"/>
    <w:rsid w:val="5FF677D5"/>
    <w:rsid w:val="61CC7D2E"/>
    <w:rsid w:val="660C0184"/>
    <w:rsid w:val="68CA3410"/>
    <w:rsid w:val="6D065816"/>
    <w:rsid w:val="708A3348"/>
    <w:rsid w:val="737A3E7B"/>
    <w:rsid w:val="738B4F3F"/>
    <w:rsid w:val="74EB4221"/>
    <w:rsid w:val="78FF78CC"/>
    <w:rsid w:val="7CC60736"/>
    <w:rsid w:val="7DD816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2016-01-07T00:43:00Z</dcterms:created>
  <dc:creator>Administrator</dc:creator>
  <cp:lastModifiedBy>飞扬信鸽足环查询-杨军</cp:lastModifiedBy>
  <cp:lastPrinted>2016-01-07T02:41:00Z</cp:lastPrinted>
  <dcterms:modified xsi:type="dcterms:W3CDTF">2020-02-12T03:59:39Z</dcterms:modified>
  <dc:title>车间办公用品及物资清理计划</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