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医院物资采购方案</w:t>
      </w:r>
    </w:p>
    <w:p>
      <w:pPr>
        <w:spacing w:line="500" w:lineRule="exact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为了规范医院采购工作流程，更好地保障临床科室的需要和医院日常工作的顺利开展，使采购工作更科学、流程更规范、效率更高效、特制定本方案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如下</w:t>
      </w:r>
      <w:r>
        <w:rPr>
          <w:rFonts w:hint="eastAsia" w:asciiTheme="minorEastAsia" w:hAnsiTheme="minorEastAsia"/>
          <w:sz w:val="24"/>
          <w:szCs w:val="24"/>
        </w:rPr>
        <w:t>： </w:t>
      </w:r>
    </w:p>
    <w:p>
      <w:pPr>
        <w:spacing w:line="50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一、采购分类 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采购工作分为物资采购和固定资产采购。 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物资包括：办公用品、卫生被服、药品、医疗器械、医用耗材、卫生材料等。具体分类如下：</w:t>
      </w:r>
    </w:p>
    <w:p>
      <w:pPr>
        <w:pStyle w:val="10"/>
        <w:spacing w:line="500" w:lineRule="exact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办公用品</w:t>
      </w:r>
      <w:r>
        <w:rPr>
          <w:rFonts w:hint="eastAsia" w:asciiTheme="minorEastAsia" w:hAnsiTheme="minorEastAsia"/>
          <w:sz w:val="24"/>
          <w:szCs w:val="24"/>
        </w:rPr>
        <w:t>：行政办公用品（如：笔、纸、计算器及时电脑耗材等）、网络设备（如：电脑配件、打印机消耗材等网络办公耗材等）和医用表格（如处方单、化验单、检查单等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）；</w:t>
      </w:r>
    </w:p>
    <w:p>
      <w:pPr>
        <w:pStyle w:val="10"/>
        <w:spacing w:line="500" w:lineRule="exact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卫生被服：</w:t>
      </w:r>
      <w:r>
        <w:rPr>
          <w:rFonts w:hint="eastAsia" w:asciiTheme="minorEastAsia" w:hAnsiTheme="minorEastAsia"/>
          <w:sz w:val="24"/>
          <w:szCs w:val="24"/>
        </w:rPr>
        <w:t>员工制式服装（如：医生服、技师服、护士服、导医服等）和病床用品（卫生床单、卫生被、病号服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/>
          <w:sz w:val="24"/>
          <w:szCs w:val="24"/>
        </w:rPr>
        <w:t>）；</w:t>
      </w:r>
    </w:p>
    <w:p>
      <w:pPr>
        <w:pStyle w:val="10"/>
        <w:spacing w:line="500" w:lineRule="exact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药品：</w:t>
      </w:r>
      <w:r>
        <w:rPr>
          <w:rFonts w:hint="eastAsia" w:asciiTheme="minorEastAsia" w:hAnsiTheme="minorEastAsia"/>
          <w:sz w:val="24"/>
          <w:szCs w:val="24"/>
        </w:rPr>
        <w:t>西药（包括针剂、片剂、大液体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/>
          <w:sz w:val="24"/>
          <w:szCs w:val="24"/>
        </w:rPr>
        <w:t>）；</w:t>
      </w:r>
    </w:p>
    <w:p>
      <w:pPr>
        <w:pStyle w:val="10"/>
        <w:spacing w:line="500" w:lineRule="exact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医疗器械</w:t>
      </w:r>
      <w:r>
        <w:rPr>
          <w:rFonts w:hint="eastAsia" w:asciiTheme="minorEastAsia" w:hAnsiTheme="minorEastAsia"/>
          <w:sz w:val="24"/>
          <w:szCs w:val="24"/>
        </w:rPr>
        <w:t>：医生用的医用工具（如：手术刀柄和刀片、体温计、血压计等）和治疗器械；</w:t>
      </w:r>
    </w:p>
    <w:p>
      <w:pPr>
        <w:pStyle w:val="10"/>
        <w:spacing w:line="500" w:lineRule="exact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医用耗材</w:t>
      </w:r>
      <w:r>
        <w:rPr>
          <w:rFonts w:hint="eastAsia" w:asciiTheme="minorEastAsia" w:hAnsiTheme="minorEastAsia"/>
          <w:sz w:val="24"/>
          <w:szCs w:val="24"/>
        </w:rPr>
        <w:t>：化验试剂和植入人体内的并单独计费耗材；</w:t>
      </w:r>
    </w:p>
    <w:p>
      <w:pPr>
        <w:pStyle w:val="10"/>
        <w:spacing w:line="500" w:lineRule="exact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卫生材料：</w:t>
      </w:r>
      <w:r>
        <w:rPr>
          <w:rFonts w:hint="eastAsia" w:asciiTheme="minorEastAsia" w:hAnsiTheme="minorEastAsia"/>
          <w:sz w:val="24"/>
          <w:szCs w:val="24"/>
        </w:rPr>
        <w:t>需要消毒灭菌的一次性耗材（如：一次性棉球、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一次性注射器、</w:t>
      </w:r>
      <w:r>
        <w:rPr>
          <w:rFonts w:hint="eastAsia" w:asciiTheme="minorEastAsia" w:hAnsiTheme="minorEastAsia"/>
          <w:sz w:val="24"/>
          <w:szCs w:val="24"/>
        </w:rPr>
        <w:t>一次性输液器、手术包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/>
          <w:sz w:val="24"/>
          <w:szCs w:val="24"/>
        </w:rPr>
        <w:t>）。 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固定资产包括：医疗设备、办公家具、一般设备等。具体分类如下：</w:t>
      </w:r>
    </w:p>
    <w:p>
      <w:pPr>
        <w:pStyle w:val="10"/>
        <w:spacing w:line="500" w:lineRule="exact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医疗设备:</w:t>
      </w:r>
      <w:r>
        <w:rPr>
          <w:rFonts w:hint="eastAsia" w:asciiTheme="minorEastAsia" w:hAnsiTheme="minorEastAsia"/>
          <w:sz w:val="24"/>
          <w:szCs w:val="24"/>
        </w:rPr>
        <w:t>分为大型医疗设备(指单件价值或批量在50万元（含）以上的医疗设备、中型医疗设备（单件价值在2万元以上且单件在5万元以内的或者批量总价值10万元以上且批量总价值50万元以内的固定资产）、小型医疗设备（单件价值在2万元以内的或批量总价值5万元以内的固定资产；</w:t>
      </w:r>
    </w:p>
    <w:p>
      <w:pPr>
        <w:pStyle w:val="10"/>
        <w:spacing w:line="500" w:lineRule="exact"/>
        <w:ind w:left="360" w:firstLine="0"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办公家具:</w:t>
      </w:r>
      <w:r>
        <w:rPr>
          <w:rFonts w:hint="eastAsia" w:asciiTheme="minorEastAsia" w:hAnsiTheme="minorEastAsia"/>
          <w:sz w:val="24"/>
          <w:szCs w:val="24"/>
        </w:rPr>
        <w:t>是指办公使用的各种家具（如：办公桌、办公椅、文件柜等）；</w:t>
      </w:r>
    </w:p>
    <w:p>
      <w:pPr>
        <w:pStyle w:val="10"/>
        <w:spacing w:line="500" w:lineRule="exact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一般设备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是指不直接用于临床服务的各种通用设备（如：电脑、打印机、显示器、空调、电视、网络专业设备等）；</w:t>
      </w:r>
    </w:p>
    <w:p>
      <w:pPr>
        <w:spacing w:line="50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二、各部门职责 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采购流程涉及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医院</w:t>
      </w:r>
      <w:r>
        <w:rPr>
          <w:rFonts w:hint="eastAsia" w:asciiTheme="minorEastAsia" w:hAnsiTheme="minorEastAsia"/>
          <w:sz w:val="24"/>
          <w:szCs w:val="24"/>
        </w:rPr>
        <w:t>主管部门、财务部门、物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资</w:t>
      </w:r>
      <w:r>
        <w:rPr>
          <w:rFonts w:hint="eastAsia" w:asciiTheme="minorEastAsia" w:hAnsiTheme="minorEastAsia"/>
          <w:sz w:val="24"/>
          <w:szCs w:val="24"/>
        </w:rPr>
        <w:t>采购部门、物资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管理</w:t>
      </w:r>
      <w:r>
        <w:rPr>
          <w:rFonts w:hint="eastAsia" w:asciiTheme="minorEastAsia" w:hAnsiTheme="minorEastAsia"/>
          <w:sz w:val="24"/>
          <w:szCs w:val="24"/>
        </w:rPr>
        <w:t>部门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以及</w:t>
      </w:r>
      <w:r>
        <w:rPr>
          <w:rFonts w:hint="eastAsia" w:asciiTheme="minorEastAsia" w:hAnsiTheme="minorEastAsia"/>
          <w:sz w:val="24"/>
          <w:szCs w:val="24"/>
        </w:rPr>
        <w:t>集团行政中心、采购公司。 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主管部门负责固定资产和物资采购的申请审核、固定资产和库存物资的质量、固定资产的调配和库存物资出库的审批。固定资产、办公用品、卫生被服是医院综合办公室；卫生材料的主管部门是护理部；医疗器械、医用耗材、药品的主管部门是医务科。 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2、财务部门负责固定资产和库存物资采购的申请审核、库存物资的出入库的汇总审核、固定资产和库存物资的总账、固定资产和库存物资的报销审核，库存物资的监督和定期监盘。 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3、物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资</w:t>
      </w:r>
      <w:r>
        <w:rPr>
          <w:rFonts w:hint="eastAsia" w:asciiTheme="minorEastAsia" w:hAnsiTheme="minorEastAsia"/>
          <w:sz w:val="24"/>
          <w:szCs w:val="24"/>
        </w:rPr>
        <w:t>采购部门负责整合相关物资采购申请，并向集团采购公司、行政中心提出采购申请；与集团采购公司、行政中心对接采购物资。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4、集团采购公司：负责医疗类固定资产和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医疗</w:t>
      </w:r>
      <w:r>
        <w:rPr>
          <w:rFonts w:hint="eastAsia" w:asciiTheme="minorEastAsia" w:hAnsiTheme="minorEastAsia"/>
          <w:sz w:val="24"/>
          <w:szCs w:val="24"/>
        </w:rPr>
        <w:t>物资的采购，医疗类固定资产和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医疗</w:t>
      </w:r>
      <w:r>
        <w:rPr>
          <w:rFonts w:hint="eastAsia" w:asciiTheme="minorEastAsia" w:hAnsiTheme="minorEastAsia"/>
          <w:sz w:val="24"/>
          <w:szCs w:val="24"/>
        </w:rPr>
        <w:t>物资验收时的质量保证，审查医疗设备、医疗器械、药品和卫生材料的“三证”，其中医疗设备、医疗器械、药品和卫生材料的“三证”由物资部门集中保管。 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5、集团行政中心：负责办公用品、卫生被服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办公家具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一般设备</w:t>
      </w:r>
      <w:r>
        <w:rPr>
          <w:rFonts w:hint="eastAsia" w:asciiTheme="minorEastAsia" w:hAnsiTheme="minorEastAsia"/>
          <w:sz w:val="24"/>
          <w:szCs w:val="24"/>
        </w:rPr>
        <w:t>的采购的采购。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、物资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管理</w:t>
      </w:r>
      <w:r>
        <w:rPr>
          <w:rFonts w:hint="eastAsia" w:asciiTheme="minorEastAsia" w:hAnsiTheme="minorEastAsia"/>
          <w:sz w:val="24"/>
          <w:szCs w:val="24"/>
        </w:rPr>
        <w:t>部门负责库存物资的入库登记，日常库房管理，按照审批的出库单进行出库发放，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7、</w:t>
      </w:r>
      <w:r>
        <w:rPr>
          <w:rFonts w:hint="eastAsia" w:asciiTheme="minorEastAsia" w:hAnsiTheme="minorEastAsia"/>
          <w:sz w:val="24"/>
          <w:szCs w:val="24"/>
        </w:rPr>
        <w:t>办公家具、一般设备、办公用品、卫生被服的仓储部门是医院综合办公室；医疗设备、医疗器械、医用耗材、卫生材料的仓储部门是医务部、护理部—耗材库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三、物资采购流程 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常规物资由物资部门根据现在库存数量和消耗情况提出采购申请。常用物资的库存量不得超过半个月，不常用物资和采购时间较长的物资库存量不得超过1个月为原则。物资采购目录以外的物资由使用部门（科室）提出申请。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2、相关主管部门根据工作实际情况审核部门物资采购申请，并签署审核意见。</w:t>
      </w:r>
    </w:p>
    <w:p>
      <w:pPr>
        <w:spacing w:line="500" w:lineRule="exac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3、财务部门根据成本和总量控制审核物资采购申请，</w:t>
      </w:r>
      <w:r>
        <w:rPr>
          <w:rFonts w:hint="eastAsia" w:asciiTheme="minorEastAsia" w:hAnsiTheme="minorEastAsia"/>
          <w:sz w:val="24"/>
          <w:szCs w:val="24"/>
        </w:rPr>
        <w:t>并签署审核意见。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常务院长审核物资采购申请，并签署审核意见。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/>
          <w:sz w:val="24"/>
          <w:szCs w:val="24"/>
        </w:rPr>
        <w:t>物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资</w:t>
      </w:r>
      <w:r>
        <w:rPr>
          <w:rFonts w:hint="eastAsia" w:asciiTheme="minorEastAsia" w:hAnsiTheme="minorEastAsia"/>
          <w:sz w:val="24"/>
          <w:szCs w:val="24"/>
        </w:rPr>
        <w:t>采购部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统一汇总各部门采购申请并提交至集团审批。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、物资采购审批流程：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部门提出采购申请——主管部门审批——财务部门审批——常务院长审批——分管总裁审批——董事长审批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审批完成后，</w:t>
      </w:r>
      <w:r>
        <w:rPr>
          <w:rFonts w:hint="eastAsia" w:asciiTheme="minorEastAsia" w:hAnsiTheme="minorEastAsia"/>
          <w:sz w:val="24"/>
          <w:szCs w:val="24"/>
        </w:rPr>
        <w:t>医疗类固定资产和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医疗</w:t>
      </w:r>
      <w:r>
        <w:rPr>
          <w:rFonts w:hint="eastAsia" w:asciiTheme="minorEastAsia" w:hAnsiTheme="minorEastAsia"/>
          <w:sz w:val="24"/>
          <w:szCs w:val="24"/>
        </w:rPr>
        <w:t>物资的采购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申请提交至</w:t>
      </w:r>
      <w:r>
        <w:rPr>
          <w:rFonts w:hint="eastAsia" w:asciiTheme="minorEastAsia" w:hAnsiTheme="minorEastAsia"/>
          <w:sz w:val="24"/>
          <w:szCs w:val="24"/>
        </w:rPr>
        <w:t>集团采购公司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sz w:val="24"/>
          <w:szCs w:val="24"/>
        </w:rPr>
        <w:t>办公用品、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卫生被服、</w:t>
      </w:r>
      <w:r>
        <w:rPr>
          <w:rFonts w:hint="eastAsia" w:asciiTheme="minorEastAsia" w:hAnsiTheme="minorEastAsia"/>
          <w:sz w:val="24"/>
          <w:szCs w:val="24"/>
        </w:rPr>
        <w:t>办公家具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一般设备</w:t>
      </w:r>
      <w:r>
        <w:rPr>
          <w:rFonts w:hint="eastAsia" w:asciiTheme="minorEastAsia" w:hAnsiTheme="minorEastAsia"/>
          <w:sz w:val="24"/>
          <w:szCs w:val="24"/>
        </w:rPr>
        <w:t>的采购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申请提交至</w:t>
      </w:r>
      <w:r>
        <w:rPr>
          <w:rFonts w:hint="eastAsia" w:asciiTheme="minorEastAsia" w:hAnsiTheme="minorEastAsia"/>
          <w:sz w:val="24"/>
          <w:szCs w:val="24"/>
        </w:rPr>
        <w:t>集团行政中心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8、集团采购公司和行政中心根据采购清单购买相应的物资</w:t>
      </w:r>
    </w:p>
    <w:p>
      <w:pPr>
        <w:spacing w:line="500" w:lineRule="exac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9、物资采购部负责验收相关物资，验收无误后由物资部门登记入库</w:t>
      </w:r>
    </w:p>
    <w:p>
      <w:pPr>
        <w:spacing w:line="50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四、物资</w:t>
      </w:r>
      <w:r>
        <w:rPr>
          <w:rFonts w:hint="eastAsia" w:asciiTheme="minorEastAsia" w:hAnsiTheme="minorEastAsia"/>
          <w:b/>
          <w:bCs/>
          <w:sz w:val="24"/>
          <w:szCs w:val="24"/>
        </w:rPr>
        <w:t>验收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流程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1、物资到达仓库时，由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物资采购部负责组织物资管理员</w:t>
      </w:r>
      <w:r>
        <w:rPr>
          <w:rFonts w:hint="eastAsia" w:asciiTheme="minorEastAsia" w:hAnsiTheme="minorEastAsia"/>
          <w:sz w:val="24"/>
          <w:szCs w:val="24"/>
        </w:rPr>
        <w:t>和主管部门指定的物资验收人员依据《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采购申请单</w:t>
      </w:r>
      <w:r>
        <w:rPr>
          <w:rFonts w:hint="eastAsia" w:asciiTheme="minorEastAsia" w:hAnsiTheme="minorEastAsia"/>
          <w:sz w:val="24"/>
          <w:szCs w:val="24"/>
        </w:rPr>
        <w:t>》对所采购的物资进行验收。 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2、验收人员在验收时主要负责物资的质量问题，即：物资的生产日期、到期日期、物资的名称、规格、厂商、包装等质量问题，与订购单不符的物资或质量不符合国家要求的物资，验收人员有权拒绝入库。 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物资管理员</w:t>
      </w:r>
      <w:r>
        <w:rPr>
          <w:rFonts w:hint="eastAsia" w:asciiTheme="minorEastAsia" w:hAnsiTheme="minorEastAsia"/>
          <w:sz w:val="24"/>
          <w:szCs w:val="24"/>
        </w:rPr>
        <w:t>在验收时主要负责物资的数量问题，即：物资的数量是否正确，对超过采购申请数量的物资，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物资</w:t>
      </w:r>
      <w:r>
        <w:rPr>
          <w:rFonts w:hint="eastAsia" w:asciiTheme="minorEastAsia" w:hAnsiTheme="minorEastAsia"/>
          <w:sz w:val="24"/>
          <w:szCs w:val="24"/>
        </w:rPr>
        <w:t>管理人员有权拒绝入库。 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4、对不符合国家要求、医院采购要求和超过申购数量的物资，由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物资采购部</w:t>
      </w:r>
      <w:r>
        <w:rPr>
          <w:rFonts w:hint="eastAsia" w:asciiTheme="minorEastAsia" w:hAnsiTheme="minorEastAsia"/>
          <w:sz w:val="24"/>
          <w:szCs w:val="24"/>
        </w:rPr>
        <w:t>负责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与集团沟通进行</w:t>
      </w:r>
      <w:r>
        <w:rPr>
          <w:rFonts w:hint="eastAsia" w:asciiTheme="minorEastAsia" w:hAnsiTheme="minorEastAsia"/>
          <w:sz w:val="24"/>
          <w:szCs w:val="24"/>
        </w:rPr>
        <w:t>退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换</w:t>
      </w:r>
      <w:r>
        <w:rPr>
          <w:rFonts w:hint="eastAsia" w:asciiTheme="minorEastAsia" w:hAnsiTheme="minorEastAsia"/>
          <w:sz w:val="24"/>
          <w:szCs w:val="24"/>
        </w:rPr>
        <w:t>货处理。 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5、经验收合格的物资，应及时办理入库，并打印物资入库单一式三联，《物资入库单》作为物资验收合格凭证，应当由验收人员、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物资</w:t>
      </w:r>
      <w:r>
        <w:rPr>
          <w:rFonts w:hint="eastAsia" w:asciiTheme="minorEastAsia" w:hAnsiTheme="minorEastAsia"/>
          <w:sz w:val="24"/>
          <w:szCs w:val="24"/>
        </w:rPr>
        <w:t>采购人员和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物资</w:t>
      </w:r>
      <w:r>
        <w:rPr>
          <w:rFonts w:hint="eastAsia" w:asciiTheme="minorEastAsia" w:hAnsiTheme="minorEastAsia"/>
          <w:sz w:val="24"/>
          <w:szCs w:val="24"/>
        </w:rPr>
        <w:t>管理员共同签字确认，入库单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由物资部门、物资采购部门、集团采购公司/行政中心分别</w:t>
      </w:r>
      <w:r>
        <w:rPr>
          <w:rFonts w:hint="eastAsia" w:asciiTheme="minorEastAsia" w:hAnsiTheme="minorEastAsia"/>
          <w:sz w:val="24"/>
          <w:szCs w:val="24"/>
        </w:rPr>
        <w:t>留存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jc w:val="right"/>
        <w:rPr>
          <w:rFonts w:hint="eastAsia"/>
          <w:lang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附表：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附表1：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药品采购申请单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附表2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常用物资采购申请单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附表3：医疗耗材类采购申请单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附表4：医疗仪器设备采购申请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/>
          <w:sz w:val="24"/>
          <w:szCs w:val="24"/>
          <w:lang w:eastAsia="zh-CN"/>
        </w:rPr>
        <w:t>二〇一六年八月十二日</w:t>
      </w: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医院药品</w:t>
      </w:r>
      <w:r>
        <w:rPr>
          <w:rFonts w:hint="eastAsia"/>
          <w:b/>
          <w:sz w:val="44"/>
          <w:szCs w:val="44"/>
        </w:rPr>
        <w:t>采购申请单</w:t>
      </w:r>
    </w:p>
    <w:p>
      <w:pPr>
        <w:jc w:val="both"/>
        <w:rPr>
          <w:rFonts w:hint="eastAsia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申请部门：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5"/>
        <w:tblW w:w="92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323"/>
        <w:gridCol w:w="1977"/>
        <w:gridCol w:w="600"/>
        <w:gridCol w:w="1173"/>
        <w:gridCol w:w="585"/>
        <w:gridCol w:w="60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药品通用名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药品商品名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生产厂家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药品剂型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药品规格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申请数量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库存数量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申请事由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申请部门负责人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主管部门负责人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财务部门负责人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常务院长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分管总裁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董事长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年   月    日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常用物资</w:t>
      </w:r>
      <w:r>
        <w:rPr>
          <w:rFonts w:hint="eastAsia"/>
          <w:b/>
          <w:sz w:val="44"/>
          <w:szCs w:val="44"/>
        </w:rPr>
        <w:t>采购申请单</w:t>
      </w:r>
    </w:p>
    <w:p>
      <w:pPr>
        <w:jc w:val="both"/>
        <w:rPr>
          <w:rFonts w:hint="eastAsia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申请部门：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5"/>
        <w:tblW w:w="92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568"/>
        <w:gridCol w:w="1009"/>
        <w:gridCol w:w="1285"/>
        <w:gridCol w:w="584"/>
        <w:gridCol w:w="861"/>
        <w:gridCol w:w="624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品名（全称）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规格</w:t>
            </w:r>
            <w:r>
              <w:rPr>
                <w:rFonts w:hint="eastAsia"/>
                <w:sz w:val="16"/>
              </w:rPr>
              <w:t>型号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 xml:space="preserve"> 需求数量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单位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单价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总价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库存数量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15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</w:p>
        </w:tc>
        <w:tc>
          <w:tcPr>
            <w:tcW w:w="15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申请事由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申请部门负责人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主管部门负责人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财务部门负责人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常务院长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分管总裁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董事长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年   月    日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医疗</w:t>
      </w:r>
      <w:r>
        <w:rPr>
          <w:rFonts w:hint="eastAsia"/>
          <w:b/>
          <w:sz w:val="44"/>
          <w:szCs w:val="44"/>
        </w:rPr>
        <w:t>耗材类采购申请单</w:t>
      </w:r>
    </w:p>
    <w:p>
      <w:pPr>
        <w:jc w:val="both"/>
        <w:rPr>
          <w:rFonts w:hint="eastAsia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申请部门：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5"/>
        <w:tblW w:w="92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308"/>
        <w:gridCol w:w="2128"/>
        <w:gridCol w:w="627"/>
        <w:gridCol w:w="804"/>
        <w:gridCol w:w="641"/>
        <w:gridCol w:w="682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品名（全称）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规格</w:t>
            </w:r>
            <w:r>
              <w:rPr>
                <w:rFonts w:hint="eastAsia"/>
                <w:sz w:val="16"/>
              </w:rPr>
              <w:t>型号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厂家（品牌）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进货数量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单位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度数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库存数量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合计：</w:t>
            </w:r>
          </w:p>
        </w:tc>
        <w:tc>
          <w:tcPr>
            <w:tcW w:w="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申请事由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申请部门负责人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主管部门负责人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财务部门负责人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常务院长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分管总裁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董事长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年   月    日</w:t>
            </w:r>
          </w:p>
        </w:tc>
      </w:tr>
    </w:tbl>
    <w:p>
      <w:pPr>
        <w:ind w:right="-1048" w:rightChars="-499" w:firstLine="2209" w:firstLineChars="50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医疗仪器设备购置申请表</w:t>
      </w:r>
    </w:p>
    <w:p>
      <w:pPr>
        <w:jc w:val="both"/>
        <w:rPr>
          <w:rFonts w:hint="eastAsia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申请部门：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5"/>
        <w:tblW w:w="92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657"/>
        <w:gridCol w:w="2659"/>
        <w:gridCol w:w="573"/>
        <w:gridCol w:w="641"/>
        <w:gridCol w:w="995"/>
        <w:gridCol w:w="873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设备名称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国产/进口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厂家（品牌）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需求数量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预计购置金额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收费标准（每人次）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有/无耗材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耗材价/人次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设备基本配置要求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6"/>
                <w:lang w:val="en-US" w:eastAsia="zh-CN"/>
              </w:rPr>
              <w:t>设备基本配置要求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6"/>
                <w:lang w:val="en-US" w:eastAsia="zh-CN"/>
              </w:rPr>
              <w:t>设备基本配置要求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6"/>
                <w:lang w:val="en-US" w:eastAsia="zh-CN"/>
              </w:rPr>
              <w:t>设备基本配置要求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57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设备基本配置要求</w:t>
            </w:r>
          </w:p>
        </w:tc>
        <w:tc>
          <w:tcPr>
            <w:tcW w:w="727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申请事由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申请部门负责人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主管部门负责人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财务部门负责人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常务院长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分管总裁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董事长</w:t>
            </w:r>
            <w:r>
              <w:rPr>
                <w:rFonts w:hint="eastAsia" w:ascii="宋体" w:hAnsi="宋体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年   月    日</w:t>
            </w:r>
          </w:p>
        </w:tc>
      </w:tr>
    </w:tbl>
    <w:p>
      <w:pPr>
        <w:tabs>
          <w:tab w:val="left" w:pos="2040"/>
        </w:tabs>
        <w:jc w:val="both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240" w:right="1558" w:bottom="1277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958"/>
    <w:multiLevelType w:val="multilevel"/>
    <w:tmpl w:val="011D695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62F"/>
    <w:rsid w:val="00125B15"/>
    <w:rsid w:val="001F1A96"/>
    <w:rsid w:val="002C6B48"/>
    <w:rsid w:val="003F4C13"/>
    <w:rsid w:val="005B2CBB"/>
    <w:rsid w:val="008B50D1"/>
    <w:rsid w:val="00905BB5"/>
    <w:rsid w:val="009D5312"/>
    <w:rsid w:val="00A205FE"/>
    <w:rsid w:val="00A67BD9"/>
    <w:rsid w:val="00B6244B"/>
    <w:rsid w:val="00BF07B1"/>
    <w:rsid w:val="00CB05BE"/>
    <w:rsid w:val="00D12331"/>
    <w:rsid w:val="00DD2D38"/>
    <w:rsid w:val="00E44E74"/>
    <w:rsid w:val="00F443DC"/>
    <w:rsid w:val="00FB462F"/>
    <w:rsid w:val="03305F4E"/>
    <w:rsid w:val="05D30B83"/>
    <w:rsid w:val="0B8909EB"/>
    <w:rsid w:val="0C573AA6"/>
    <w:rsid w:val="0E7E53AD"/>
    <w:rsid w:val="0F5B1B75"/>
    <w:rsid w:val="0F7B7C95"/>
    <w:rsid w:val="11EB29DD"/>
    <w:rsid w:val="14017A73"/>
    <w:rsid w:val="15914267"/>
    <w:rsid w:val="162559AB"/>
    <w:rsid w:val="17B522E6"/>
    <w:rsid w:val="1AF93D28"/>
    <w:rsid w:val="1DD01F89"/>
    <w:rsid w:val="1F24672B"/>
    <w:rsid w:val="24090B48"/>
    <w:rsid w:val="242809C0"/>
    <w:rsid w:val="25F159A7"/>
    <w:rsid w:val="2B0A7300"/>
    <w:rsid w:val="2CF46227"/>
    <w:rsid w:val="371E18A3"/>
    <w:rsid w:val="377D453D"/>
    <w:rsid w:val="42CE5ABA"/>
    <w:rsid w:val="43523FC2"/>
    <w:rsid w:val="440331FF"/>
    <w:rsid w:val="45BA066B"/>
    <w:rsid w:val="46143BC8"/>
    <w:rsid w:val="48AD79C1"/>
    <w:rsid w:val="48FC758F"/>
    <w:rsid w:val="4B5B655F"/>
    <w:rsid w:val="4F5A663F"/>
    <w:rsid w:val="518F01BF"/>
    <w:rsid w:val="52C0397C"/>
    <w:rsid w:val="537D6412"/>
    <w:rsid w:val="577A3F7A"/>
    <w:rsid w:val="5E175BD2"/>
    <w:rsid w:val="60A7740C"/>
    <w:rsid w:val="6DAE19BC"/>
    <w:rsid w:val="6E62325D"/>
    <w:rsid w:val="70904F63"/>
    <w:rsid w:val="72DA3A57"/>
    <w:rsid w:val="74AA50D6"/>
    <w:rsid w:val="74CC7E70"/>
    <w:rsid w:val="7735253A"/>
    <w:rsid w:val="7E616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1123</Words>
  <Characters>6406</Characters>
  <Lines>53</Lines>
  <Paragraphs>15</Paragraphs>
  <TotalTime>2</TotalTime>
  <ScaleCrop>false</ScaleCrop>
  <LinksUpToDate>false</LinksUpToDate>
  <CharactersWithSpaces>7514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2016-08-09T08:49:00Z</dcterms:created>
  <dc:creator>Windows 用户</dc:creator>
  <cp:lastModifiedBy>晴天娃娃</cp:lastModifiedBy>
  <dcterms:modified xsi:type="dcterms:W3CDTF">2019-12-14T15:48:47Z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